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ADC3" w14:textId="77777777" w:rsidR="00E53565" w:rsidRPr="004250CC" w:rsidRDefault="00E53565" w:rsidP="004250CC">
      <w:pPr>
        <w:spacing w:line="288" w:lineRule="auto"/>
        <w:rPr>
          <w:sz w:val="22"/>
          <w:szCs w:val="22"/>
        </w:rPr>
      </w:pPr>
      <w:r w:rsidRPr="004250CC">
        <w:rPr>
          <w:sz w:val="22"/>
          <w:szCs w:val="22"/>
        </w:rPr>
        <w:t>Conformément aux dispositions des articles L. 1333-22 et R. 1333-33 et suivants du code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de la santé publique, notre établissement a fait l’objet de mesurages de l’activité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 xml:space="preserve">volumique en radon selon les normes en vigueur. </w:t>
      </w:r>
    </w:p>
    <w:p w14:paraId="349479BE" w14:textId="5E3691C7" w:rsidR="00E53565" w:rsidRPr="004250CC" w:rsidRDefault="00E53565" w:rsidP="004250CC">
      <w:pPr>
        <w:spacing w:line="288" w:lineRule="auto"/>
        <w:rPr>
          <w:sz w:val="22"/>
          <w:szCs w:val="22"/>
        </w:rPr>
      </w:pPr>
      <w:r w:rsidRPr="004250CC">
        <w:rPr>
          <w:sz w:val="22"/>
          <w:szCs w:val="22"/>
        </w:rPr>
        <w:t>L’activité volumique retenue pour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l’établissement, est présentée dans le tableau 1.</w:t>
      </w:r>
    </w:p>
    <w:p w14:paraId="42D0BE90" w14:textId="77777777" w:rsidR="00E53565" w:rsidRPr="004250CC" w:rsidRDefault="00E53565" w:rsidP="00E53565">
      <w:pPr>
        <w:rPr>
          <w:sz w:val="22"/>
          <w:szCs w:val="22"/>
        </w:rPr>
      </w:pPr>
    </w:p>
    <w:p w14:paraId="3F0F2FF6" w14:textId="6E836BF0" w:rsidR="00E53565" w:rsidRPr="004250CC" w:rsidRDefault="00E53565" w:rsidP="00E53565">
      <w:pPr>
        <w:rPr>
          <w:i/>
          <w:iCs/>
          <w:sz w:val="22"/>
          <w:szCs w:val="22"/>
          <w:u w:val="single"/>
        </w:rPr>
      </w:pPr>
      <w:r w:rsidRPr="004250CC">
        <w:rPr>
          <w:i/>
          <w:iCs/>
          <w:sz w:val="22"/>
          <w:szCs w:val="22"/>
          <w:u w:val="single"/>
        </w:rPr>
        <w:t>Nom de l’établissement :</w:t>
      </w:r>
    </w:p>
    <w:p w14:paraId="673C0C07" w14:textId="77777777" w:rsidR="00E53565" w:rsidRPr="004250CC" w:rsidRDefault="00E53565" w:rsidP="00E53565">
      <w:pPr>
        <w:rPr>
          <w:sz w:val="22"/>
          <w:szCs w:val="22"/>
        </w:rPr>
      </w:pPr>
    </w:p>
    <w:p w14:paraId="44AFC436" w14:textId="5D2B7533" w:rsidR="00E53565" w:rsidRPr="004250CC" w:rsidRDefault="00E53565" w:rsidP="00E53565">
      <w:pPr>
        <w:rPr>
          <w:sz w:val="22"/>
          <w:szCs w:val="22"/>
        </w:rPr>
      </w:pPr>
      <w:r w:rsidRPr="004250CC">
        <w:rPr>
          <w:i/>
          <w:iCs/>
          <w:sz w:val="22"/>
          <w:szCs w:val="22"/>
          <w:u w:val="single"/>
        </w:rPr>
        <w:t>Nom de l’organisme de mesurage</w:t>
      </w:r>
      <w:r w:rsidRPr="004250CC">
        <w:rPr>
          <w:sz w:val="22"/>
          <w:szCs w:val="22"/>
        </w:rPr>
        <w:t xml:space="preserve"> :</w:t>
      </w:r>
    </w:p>
    <w:p w14:paraId="59165B33" w14:textId="77777777" w:rsidR="00E53565" w:rsidRPr="004250CC" w:rsidRDefault="00E53565" w:rsidP="00E53565">
      <w:pPr>
        <w:rPr>
          <w:sz w:val="22"/>
          <w:szCs w:val="22"/>
        </w:rPr>
      </w:pPr>
    </w:p>
    <w:p w14:paraId="26072F46" w14:textId="05A654F8" w:rsidR="00E53565" w:rsidRPr="004250CC" w:rsidRDefault="00E53565" w:rsidP="00E53565">
      <w:pPr>
        <w:rPr>
          <w:sz w:val="22"/>
          <w:szCs w:val="22"/>
        </w:rPr>
      </w:pPr>
      <w:r w:rsidRPr="004250CC">
        <w:rPr>
          <w:i/>
          <w:iCs/>
          <w:sz w:val="22"/>
          <w:szCs w:val="22"/>
          <w:u w:val="single"/>
        </w:rPr>
        <w:t>Période de mesurage initial</w:t>
      </w:r>
      <w:r w:rsidRPr="004250CC">
        <w:rPr>
          <w:sz w:val="22"/>
          <w:szCs w:val="22"/>
        </w:rPr>
        <w:t xml:space="preserve"> : du “ date “ au “ date “</w:t>
      </w:r>
    </w:p>
    <w:p w14:paraId="56FCC9CD" w14:textId="77777777" w:rsidR="00E53565" w:rsidRPr="004250CC" w:rsidRDefault="00E53565" w:rsidP="00E53565">
      <w:pPr>
        <w:rPr>
          <w:sz w:val="22"/>
          <w:szCs w:val="22"/>
        </w:rPr>
      </w:pPr>
    </w:p>
    <w:p w14:paraId="7CAD5A3B" w14:textId="49B59AB4" w:rsidR="00E53565" w:rsidRPr="004250CC" w:rsidRDefault="00E53565" w:rsidP="00E53565">
      <w:pPr>
        <w:jc w:val="center"/>
        <w:rPr>
          <w:sz w:val="22"/>
          <w:szCs w:val="22"/>
        </w:rPr>
      </w:pPr>
      <w:r w:rsidRPr="004250CC">
        <w:rPr>
          <w:sz w:val="22"/>
          <w:szCs w:val="22"/>
        </w:rPr>
        <w:t>Tableau 1 : Résultat de l’activité volumique initial en radon</w:t>
      </w:r>
    </w:p>
    <w:p w14:paraId="54B43287" w14:textId="77777777" w:rsidR="00E53565" w:rsidRDefault="00E53565" w:rsidP="00E5356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53565" w14:paraId="09A0D6A5" w14:textId="77777777" w:rsidTr="00E53565">
        <w:trPr>
          <w:jc w:val="center"/>
        </w:trPr>
        <w:tc>
          <w:tcPr>
            <w:tcW w:w="4531" w:type="dxa"/>
            <w:vAlign w:val="center"/>
          </w:tcPr>
          <w:p w14:paraId="26D94038" w14:textId="77777777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ACTIVITE VOLUMIQUE INITIALE RETENUE POUR L’ETABLISSEMENT</w:t>
            </w:r>
          </w:p>
          <w:p w14:paraId="3B4BDFD8" w14:textId="77777777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</w:p>
          <w:p w14:paraId="22E980DB" w14:textId="6AFBC753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 xml:space="preserve">En Bq /m3 </w:t>
            </w:r>
            <w:r w:rsidRPr="004250CC">
              <w:rPr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4531" w:type="dxa"/>
            <w:vAlign w:val="center"/>
          </w:tcPr>
          <w:p w14:paraId="5B7CA750" w14:textId="77777777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 xml:space="preserve">NIVEAU DE REFERENCE </w:t>
            </w:r>
            <w:r w:rsidRPr="004250CC">
              <w:rPr>
                <w:sz w:val="22"/>
                <w:szCs w:val="22"/>
                <w:vertAlign w:val="superscript"/>
              </w:rPr>
              <w:t>(1)</w:t>
            </w:r>
          </w:p>
          <w:p w14:paraId="1ABC6F5D" w14:textId="77777777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</w:p>
          <w:p w14:paraId="7301081B" w14:textId="69C09B5F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En Bq/m3</w:t>
            </w:r>
          </w:p>
        </w:tc>
      </w:tr>
      <w:tr w:rsidR="00E53565" w14:paraId="51DB5D31" w14:textId="77777777" w:rsidTr="00E53565">
        <w:trPr>
          <w:jc w:val="center"/>
        </w:trPr>
        <w:tc>
          <w:tcPr>
            <w:tcW w:w="4531" w:type="dxa"/>
            <w:vAlign w:val="center"/>
          </w:tcPr>
          <w:p w14:paraId="65D10185" w14:textId="4EA321BE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« … »</w:t>
            </w:r>
          </w:p>
        </w:tc>
        <w:tc>
          <w:tcPr>
            <w:tcW w:w="4531" w:type="dxa"/>
            <w:vAlign w:val="center"/>
          </w:tcPr>
          <w:p w14:paraId="1E34277B" w14:textId="64EDCF62" w:rsidR="00E53565" w:rsidRPr="004250CC" w:rsidRDefault="00E53565" w:rsidP="00E53565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300</w:t>
            </w:r>
          </w:p>
        </w:tc>
      </w:tr>
      <w:tr w:rsidR="00E53565" w14:paraId="2649072D" w14:textId="77777777" w:rsidTr="004C10DD">
        <w:trPr>
          <w:jc w:val="center"/>
        </w:trPr>
        <w:tc>
          <w:tcPr>
            <w:tcW w:w="9062" w:type="dxa"/>
            <w:gridSpan w:val="2"/>
            <w:vAlign w:val="center"/>
          </w:tcPr>
          <w:p w14:paraId="23C47005" w14:textId="77777777" w:rsidR="00E53565" w:rsidRPr="00E53565" w:rsidRDefault="00E53565" w:rsidP="00E53565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3565">
              <w:rPr>
                <w:sz w:val="20"/>
                <w:szCs w:val="20"/>
              </w:rPr>
              <w:t>Niveau de référence : niveau au-dessus duquel il est jugé inapproprié de permettre l’exposition des personnes.</w:t>
            </w:r>
          </w:p>
          <w:p w14:paraId="19F9FC19" w14:textId="3B7A2118" w:rsidR="00E53565" w:rsidRDefault="00E53565" w:rsidP="00E53565">
            <w:pPr>
              <w:pStyle w:val="Paragraphedeliste"/>
              <w:numPr>
                <w:ilvl w:val="0"/>
                <w:numId w:val="1"/>
              </w:numPr>
            </w:pPr>
            <w:r w:rsidRPr="00E53565">
              <w:rPr>
                <w:sz w:val="20"/>
                <w:szCs w:val="20"/>
              </w:rPr>
              <w:t>L’activité volumique en radon est exprimée en Becquerels par mètre cube (Bq/m3). Cette unité correspond au nombre d’atomes qui se désintègrent par seconde par mètre cube de gaz.</w:t>
            </w:r>
          </w:p>
        </w:tc>
      </w:tr>
    </w:tbl>
    <w:p w14:paraId="393F6260" w14:textId="77777777" w:rsidR="00E53565" w:rsidRDefault="00E53565" w:rsidP="00E53565"/>
    <w:p w14:paraId="69986D68" w14:textId="77777777" w:rsidR="00E53565" w:rsidRPr="004250CC" w:rsidRDefault="00E53565" w:rsidP="00E53565">
      <w:pPr>
        <w:rPr>
          <w:sz w:val="22"/>
          <w:szCs w:val="22"/>
        </w:rPr>
      </w:pPr>
      <w:r w:rsidRPr="004250CC">
        <w:rPr>
          <w:sz w:val="22"/>
          <w:szCs w:val="22"/>
        </w:rPr>
        <w:t>Des informations sur le radon sont disponibles sur les sites internet suivants :</w:t>
      </w:r>
    </w:p>
    <w:p w14:paraId="357E8B62" w14:textId="77777777" w:rsidR="00E53565" w:rsidRPr="004250CC" w:rsidRDefault="00E53565" w:rsidP="00E53565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4250CC">
        <w:rPr>
          <w:sz w:val="22"/>
          <w:szCs w:val="22"/>
        </w:rPr>
        <w:t>M</w:t>
      </w:r>
      <w:r w:rsidRPr="004250CC">
        <w:rPr>
          <w:sz w:val="22"/>
          <w:szCs w:val="22"/>
        </w:rPr>
        <w:t>inistère chargé de la santé :</w:t>
      </w:r>
      <w:r w:rsidRPr="004250CC">
        <w:rPr>
          <w:sz w:val="22"/>
          <w:szCs w:val="22"/>
        </w:rPr>
        <w:t xml:space="preserve"> </w:t>
      </w:r>
    </w:p>
    <w:p w14:paraId="71D18527" w14:textId="1719F860" w:rsidR="00E53565" w:rsidRPr="004250CC" w:rsidRDefault="00E53565" w:rsidP="00E53565">
      <w:pPr>
        <w:pStyle w:val="Paragraphedeliste"/>
        <w:rPr>
          <w:sz w:val="22"/>
          <w:szCs w:val="22"/>
        </w:rPr>
      </w:pPr>
      <w:hyperlink r:id="rId7" w:history="1">
        <w:r w:rsidRPr="004250CC">
          <w:rPr>
            <w:rStyle w:val="Lienhypertexte"/>
            <w:sz w:val="22"/>
            <w:szCs w:val="22"/>
          </w:rPr>
          <w:t>http://solidarites-sante.gouv.fr/sante-et-environnement/batiments/article/radon</w:t>
        </w:r>
      </w:hyperlink>
    </w:p>
    <w:p w14:paraId="2A8BBE73" w14:textId="77777777" w:rsidR="00E53565" w:rsidRPr="004250CC" w:rsidRDefault="00E53565" w:rsidP="00E53565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4250CC">
        <w:rPr>
          <w:sz w:val="22"/>
          <w:szCs w:val="22"/>
        </w:rPr>
        <w:t>M</w:t>
      </w:r>
      <w:r w:rsidRPr="004250CC">
        <w:rPr>
          <w:sz w:val="22"/>
          <w:szCs w:val="22"/>
        </w:rPr>
        <w:t xml:space="preserve">inistère chargé de la construction : </w:t>
      </w:r>
    </w:p>
    <w:p w14:paraId="0DEE2DB8" w14:textId="28B64CCA" w:rsidR="00E53565" w:rsidRPr="004250CC" w:rsidRDefault="00E53565" w:rsidP="00E53565">
      <w:pPr>
        <w:pStyle w:val="Paragraphedeliste"/>
        <w:rPr>
          <w:sz w:val="22"/>
          <w:szCs w:val="22"/>
        </w:rPr>
      </w:pPr>
      <w:hyperlink r:id="rId8" w:history="1">
        <w:r w:rsidRPr="004250CC">
          <w:rPr>
            <w:rStyle w:val="Lienhypertexte"/>
            <w:sz w:val="22"/>
            <w:szCs w:val="22"/>
          </w:rPr>
          <w:t>http://www.cohesion-territoires.gouv.fr/radon</w:t>
        </w:r>
      </w:hyperlink>
    </w:p>
    <w:p w14:paraId="4FC0BBED" w14:textId="77777777" w:rsidR="00E53565" w:rsidRPr="004250CC" w:rsidRDefault="00E53565" w:rsidP="00E53565">
      <w:pPr>
        <w:rPr>
          <w:sz w:val="22"/>
          <w:szCs w:val="22"/>
        </w:rPr>
      </w:pPr>
    </w:p>
    <w:p w14:paraId="4F3608FE" w14:textId="779B594C" w:rsidR="00E53565" w:rsidRPr="004250CC" w:rsidRDefault="00E53565" w:rsidP="00E53565">
      <w:pPr>
        <w:rPr>
          <w:sz w:val="22"/>
          <w:szCs w:val="22"/>
        </w:rPr>
      </w:pPr>
      <w:r w:rsidRPr="004250CC">
        <w:rPr>
          <w:sz w:val="22"/>
          <w:szCs w:val="22"/>
        </w:rPr>
        <w:t>Nota. - Les informations ci-dessous sont à conserver et à compléter uniquement en cas de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dépassement du niveau de référence en radon.</w:t>
      </w:r>
    </w:p>
    <w:p w14:paraId="0EBEBF79" w14:textId="77777777" w:rsidR="00E53565" w:rsidRPr="004250CC" w:rsidRDefault="00E53565" w:rsidP="00E53565">
      <w:pPr>
        <w:spacing w:line="319" w:lineRule="auto"/>
        <w:rPr>
          <w:sz w:val="22"/>
          <w:szCs w:val="22"/>
        </w:rPr>
      </w:pPr>
    </w:p>
    <w:p w14:paraId="0EB21793" w14:textId="77777777" w:rsidR="00E53565" w:rsidRPr="004250CC" w:rsidRDefault="00E53565" w:rsidP="004250CC">
      <w:pPr>
        <w:spacing w:line="288" w:lineRule="auto"/>
        <w:rPr>
          <w:sz w:val="22"/>
          <w:szCs w:val="22"/>
        </w:rPr>
      </w:pPr>
      <w:r w:rsidRPr="004250CC">
        <w:rPr>
          <w:sz w:val="22"/>
          <w:szCs w:val="22"/>
        </w:rPr>
        <w:t>En cas de dépassement du niveau de référence en radon fixé à l’article R. 1333-28 du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code de la santé publique, notre établissement est tenu de réduire la concentration en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radon en dessous de ce niveau et d’en contrôler l’efficacité dans un délai de 36 mois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 xml:space="preserve">suivant la réception des résultats du mesurage initial en radon. </w:t>
      </w:r>
    </w:p>
    <w:p w14:paraId="605FD0E4" w14:textId="4E2B53E8" w:rsidR="00E53565" w:rsidRPr="004250CC" w:rsidRDefault="00E53565" w:rsidP="004250CC">
      <w:pPr>
        <w:spacing w:line="288" w:lineRule="auto"/>
        <w:rPr>
          <w:sz w:val="22"/>
          <w:szCs w:val="22"/>
        </w:rPr>
      </w:pPr>
      <w:r w:rsidRPr="004250CC">
        <w:rPr>
          <w:sz w:val="22"/>
          <w:szCs w:val="22"/>
        </w:rPr>
        <w:t>Le cas échéant, les</w:t>
      </w:r>
      <w:r w:rsidRPr="004250CC">
        <w:rPr>
          <w:sz w:val="22"/>
          <w:szCs w:val="22"/>
        </w:rPr>
        <w:t xml:space="preserve"> </w:t>
      </w:r>
      <w:r w:rsidRPr="004250CC">
        <w:rPr>
          <w:sz w:val="22"/>
          <w:szCs w:val="22"/>
        </w:rPr>
        <w:t>résultats sont présentés dans le tableau 2.</w:t>
      </w:r>
    </w:p>
    <w:p w14:paraId="57D1F446" w14:textId="77777777" w:rsidR="00E53565" w:rsidRPr="004250CC" w:rsidRDefault="00E53565" w:rsidP="00E53565">
      <w:pPr>
        <w:rPr>
          <w:sz w:val="22"/>
          <w:szCs w:val="22"/>
        </w:rPr>
      </w:pPr>
    </w:p>
    <w:p w14:paraId="56DDAE5E" w14:textId="77777777" w:rsidR="00E53565" w:rsidRPr="004250CC" w:rsidRDefault="00E53565" w:rsidP="00E53565">
      <w:pPr>
        <w:rPr>
          <w:sz w:val="22"/>
          <w:szCs w:val="22"/>
        </w:rPr>
      </w:pPr>
      <w:r w:rsidRPr="004250CC">
        <w:rPr>
          <w:i/>
          <w:iCs/>
          <w:sz w:val="22"/>
          <w:szCs w:val="22"/>
          <w:u w:val="single"/>
        </w:rPr>
        <w:t>Période de mesurage pour le contrôle d’efficacité</w:t>
      </w:r>
      <w:r w:rsidRPr="004250CC">
        <w:rPr>
          <w:sz w:val="22"/>
          <w:szCs w:val="22"/>
        </w:rPr>
        <w:t xml:space="preserve"> : du « date » au « date »</w:t>
      </w:r>
    </w:p>
    <w:p w14:paraId="6E49ABC4" w14:textId="77777777" w:rsidR="00E53565" w:rsidRPr="004250CC" w:rsidRDefault="00E53565" w:rsidP="00E53565">
      <w:pPr>
        <w:rPr>
          <w:sz w:val="22"/>
          <w:szCs w:val="22"/>
        </w:rPr>
      </w:pPr>
    </w:p>
    <w:p w14:paraId="105BBF19" w14:textId="77777777" w:rsidR="00E53565" w:rsidRPr="004250CC" w:rsidRDefault="00E53565" w:rsidP="00E53565">
      <w:pPr>
        <w:jc w:val="center"/>
        <w:rPr>
          <w:sz w:val="22"/>
          <w:szCs w:val="22"/>
        </w:rPr>
      </w:pPr>
      <w:r w:rsidRPr="004250CC">
        <w:rPr>
          <w:sz w:val="22"/>
          <w:szCs w:val="22"/>
        </w:rPr>
        <w:t xml:space="preserve">Tableau 2 : Résultat de l’activité volumique en radon </w:t>
      </w:r>
    </w:p>
    <w:p w14:paraId="11772970" w14:textId="76CE7836" w:rsidR="00E53565" w:rsidRPr="004250CC" w:rsidRDefault="00E53565" w:rsidP="00E53565">
      <w:pPr>
        <w:jc w:val="center"/>
        <w:rPr>
          <w:sz w:val="22"/>
          <w:szCs w:val="22"/>
        </w:rPr>
      </w:pPr>
      <w:r w:rsidRPr="004250CC">
        <w:rPr>
          <w:sz w:val="22"/>
          <w:szCs w:val="22"/>
        </w:rPr>
        <w:t>A</w:t>
      </w:r>
      <w:r w:rsidRPr="004250CC">
        <w:rPr>
          <w:sz w:val="22"/>
          <w:szCs w:val="22"/>
        </w:rPr>
        <w:t>près actions correctives ou travaux</w:t>
      </w:r>
    </w:p>
    <w:p w14:paraId="509D90F6" w14:textId="77777777" w:rsidR="00E53565" w:rsidRDefault="00E53565" w:rsidP="00E53565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53565" w14:paraId="79C73B49" w14:textId="77777777" w:rsidTr="00020392">
        <w:trPr>
          <w:jc w:val="center"/>
        </w:trPr>
        <w:tc>
          <w:tcPr>
            <w:tcW w:w="4531" w:type="dxa"/>
            <w:vAlign w:val="center"/>
          </w:tcPr>
          <w:p w14:paraId="077A6F3B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ACTIVITE VOLUMIQUE INITIALE RETENUE POUR L’ETABLISSEMENT</w:t>
            </w:r>
          </w:p>
          <w:p w14:paraId="7F09E7A6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</w:p>
          <w:p w14:paraId="3A08B481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 xml:space="preserve">En Bq /m3 </w:t>
            </w:r>
            <w:r w:rsidRPr="004250CC">
              <w:rPr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4531" w:type="dxa"/>
            <w:vAlign w:val="center"/>
          </w:tcPr>
          <w:p w14:paraId="7B019399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 xml:space="preserve">NIVEAU DE REFERENCE </w:t>
            </w:r>
            <w:r w:rsidRPr="004250CC">
              <w:rPr>
                <w:sz w:val="22"/>
                <w:szCs w:val="22"/>
                <w:vertAlign w:val="superscript"/>
              </w:rPr>
              <w:t>(1)</w:t>
            </w:r>
          </w:p>
          <w:p w14:paraId="06885384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</w:p>
          <w:p w14:paraId="36F8970A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En Bq/m3</w:t>
            </w:r>
          </w:p>
        </w:tc>
      </w:tr>
      <w:tr w:rsidR="00E53565" w14:paraId="6FEE2C5C" w14:textId="77777777" w:rsidTr="00020392">
        <w:trPr>
          <w:jc w:val="center"/>
        </w:trPr>
        <w:tc>
          <w:tcPr>
            <w:tcW w:w="4531" w:type="dxa"/>
            <w:vAlign w:val="center"/>
          </w:tcPr>
          <w:p w14:paraId="6B3A6BDC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« … »</w:t>
            </w:r>
          </w:p>
        </w:tc>
        <w:tc>
          <w:tcPr>
            <w:tcW w:w="4531" w:type="dxa"/>
            <w:vAlign w:val="center"/>
          </w:tcPr>
          <w:p w14:paraId="3B48B901" w14:textId="77777777" w:rsidR="00E53565" w:rsidRPr="004250CC" w:rsidRDefault="00E53565" w:rsidP="00020392">
            <w:pPr>
              <w:jc w:val="center"/>
              <w:rPr>
                <w:sz w:val="22"/>
                <w:szCs w:val="22"/>
              </w:rPr>
            </w:pPr>
            <w:r w:rsidRPr="004250CC">
              <w:rPr>
                <w:sz w:val="22"/>
                <w:szCs w:val="22"/>
              </w:rPr>
              <w:t>300</w:t>
            </w:r>
          </w:p>
        </w:tc>
      </w:tr>
      <w:tr w:rsidR="00E53565" w14:paraId="6413EDB0" w14:textId="77777777" w:rsidTr="00020392">
        <w:trPr>
          <w:jc w:val="center"/>
        </w:trPr>
        <w:tc>
          <w:tcPr>
            <w:tcW w:w="9062" w:type="dxa"/>
            <w:gridSpan w:val="2"/>
            <w:vAlign w:val="center"/>
          </w:tcPr>
          <w:p w14:paraId="1F28ACD3" w14:textId="77777777" w:rsidR="00E53565" w:rsidRPr="00E53565" w:rsidRDefault="00E53565" w:rsidP="00E53565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53565">
              <w:rPr>
                <w:sz w:val="20"/>
                <w:szCs w:val="20"/>
              </w:rPr>
              <w:t>Niveau de référence : niveau au-dessus duquel il est jugé inapproprié de permettre l’exposition des personnes.</w:t>
            </w:r>
          </w:p>
          <w:p w14:paraId="767AE79A" w14:textId="77777777" w:rsidR="00E53565" w:rsidRDefault="00E53565" w:rsidP="00E53565">
            <w:pPr>
              <w:pStyle w:val="Paragraphedeliste"/>
              <w:numPr>
                <w:ilvl w:val="0"/>
                <w:numId w:val="3"/>
              </w:numPr>
            </w:pPr>
            <w:r w:rsidRPr="00E53565">
              <w:rPr>
                <w:sz w:val="20"/>
                <w:szCs w:val="20"/>
              </w:rPr>
              <w:t>L’activité volumique en radon est exprimée en Becquerels par mètre cube (Bq/m3). Cette unité correspond au nombre d’atomes qui se désintègrent par seconde par mètre cube de gaz.</w:t>
            </w:r>
          </w:p>
        </w:tc>
      </w:tr>
    </w:tbl>
    <w:p w14:paraId="1114248D" w14:textId="77777777" w:rsidR="00E53565" w:rsidRDefault="00E53565" w:rsidP="00E53565"/>
    <w:p w14:paraId="716786DC" w14:textId="61F8458C" w:rsidR="00016F88" w:rsidRPr="004250CC" w:rsidRDefault="00E53565" w:rsidP="00E53565">
      <w:pPr>
        <w:rPr>
          <w:i/>
          <w:iCs/>
          <w:sz w:val="22"/>
          <w:szCs w:val="22"/>
          <w:u w:val="single"/>
        </w:rPr>
      </w:pPr>
      <w:r w:rsidRPr="004250CC">
        <w:rPr>
          <w:i/>
          <w:iCs/>
          <w:sz w:val="22"/>
          <w:szCs w:val="22"/>
          <w:u w:val="single"/>
        </w:rPr>
        <w:t>« Date, nom, titre et signature du propriétaire ou exploitant de l’établissement »</w:t>
      </w:r>
    </w:p>
    <w:sectPr w:rsidR="00016F88" w:rsidRPr="004250CC" w:rsidSect="004250C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E5F7" w14:textId="77777777" w:rsidR="009174EA" w:rsidRDefault="009174EA" w:rsidP="00E53565">
      <w:r>
        <w:separator/>
      </w:r>
    </w:p>
  </w:endnote>
  <w:endnote w:type="continuationSeparator" w:id="0">
    <w:p w14:paraId="1497C2B6" w14:textId="77777777" w:rsidR="009174EA" w:rsidRDefault="009174EA" w:rsidP="00E5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7340" w14:textId="77777777" w:rsidR="009174EA" w:rsidRDefault="009174EA" w:rsidP="00E53565">
      <w:r>
        <w:separator/>
      </w:r>
    </w:p>
  </w:footnote>
  <w:footnote w:type="continuationSeparator" w:id="0">
    <w:p w14:paraId="6EA708C6" w14:textId="77777777" w:rsidR="009174EA" w:rsidRDefault="009174EA" w:rsidP="00E53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7585" w14:textId="77777777" w:rsidR="00E53565" w:rsidRPr="00E53565" w:rsidRDefault="00E53565" w:rsidP="00E53565">
    <w:pPr>
      <w:jc w:val="center"/>
      <w:rPr>
        <w:b/>
        <w:bCs/>
        <w:sz w:val="32"/>
        <w:szCs w:val="32"/>
      </w:rPr>
    </w:pPr>
    <w:r w:rsidRPr="00E53565">
      <w:rPr>
        <w:b/>
        <w:bCs/>
        <w:sz w:val="32"/>
        <w:szCs w:val="32"/>
      </w:rPr>
      <w:t>BILAN RELATIF AUX RÉSULTATS DE MESURAGE DU RADON</w:t>
    </w:r>
  </w:p>
  <w:p w14:paraId="268DC328" w14:textId="77777777" w:rsidR="00E53565" w:rsidRDefault="00E535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1965"/>
    <w:multiLevelType w:val="hybridMultilevel"/>
    <w:tmpl w:val="E99CA526"/>
    <w:lvl w:ilvl="0" w:tplc="663A323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067A"/>
    <w:multiLevelType w:val="hybridMultilevel"/>
    <w:tmpl w:val="9328FCC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D763C"/>
    <w:multiLevelType w:val="hybridMultilevel"/>
    <w:tmpl w:val="9328FCCA"/>
    <w:lvl w:ilvl="0" w:tplc="94587434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7625">
    <w:abstractNumId w:val="2"/>
  </w:num>
  <w:num w:numId="2" w16cid:durableId="601230233">
    <w:abstractNumId w:val="0"/>
  </w:num>
  <w:num w:numId="3" w16cid:durableId="94530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65"/>
    <w:rsid w:val="00016F88"/>
    <w:rsid w:val="004250CC"/>
    <w:rsid w:val="00550FFB"/>
    <w:rsid w:val="009174EA"/>
    <w:rsid w:val="00CA4F76"/>
    <w:rsid w:val="00E5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A679"/>
  <w15:chartTrackingRefBased/>
  <w15:docId w15:val="{5EC60155-D83B-41FF-9FB0-35D8F462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3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3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3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3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3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35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35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35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35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35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3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5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3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35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35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35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35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356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3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356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5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535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3565"/>
  </w:style>
  <w:style w:type="paragraph" w:styleId="Pieddepage">
    <w:name w:val="footer"/>
    <w:basedOn w:val="Normal"/>
    <w:link w:val="PieddepageCar"/>
    <w:uiPriority w:val="99"/>
    <w:unhideWhenUsed/>
    <w:rsid w:val="00E535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hesion-territoires.gouv.fr/rad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idarites-sante.gouv.fr/sante-et-environnement/batiments/article/ra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BOYER</dc:creator>
  <cp:keywords/>
  <dc:description/>
  <cp:lastModifiedBy>Pascal BOYER</cp:lastModifiedBy>
  <cp:revision>1</cp:revision>
  <dcterms:created xsi:type="dcterms:W3CDTF">2025-11-26T14:41:00Z</dcterms:created>
  <dcterms:modified xsi:type="dcterms:W3CDTF">2025-11-26T14:58:00Z</dcterms:modified>
</cp:coreProperties>
</file>